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C0" w:rsidRPr="001278C0" w:rsidRDefault="001278C0" w:rsidP="001278C0">
      <w:pPr>
        <w:jc w:val="center"/>
        <w:rPr>
          <w:rFonts w:ascii="方正小标宋简体" w:eastAsia="方正小标宋简体" w:hAnsi="仿宋" w:hint="eastAsia"/>
          <w:color w:val="000000"/>
          <w:sz w:val="32"/>
          <w:szCs w:val="32"/>
        </w:rPr>
      </w:pPr>
      <w:r w:rsidRPr="001278C0">
        <w:rPr>
          <w:rFonts w:ascii="方正小标宋简体" w:eastAsia="方正小标宋简体" w:hAnsi="仿宋" w:hint="eastAsia"/>
          <w:color w:val="000000"/>
          <w:sz w:val="32"/>
          <w:szCs w:val="32"/>
        </w:rPr>
        <w:t>无锡市职业教育精品课程评选标准</w:t>
      </w:r>
    </w:p>
    <w:p w:rsidR="001278C0" w:rsidRPr="00B84CAF" w:rsidRDefault="001278C0" w:rsidP="001278C0">
      <w:pPr>
        <w:jc w:val="center"/>
        <w:rPr>
          <w:color w:val="000000"/>
        </w:rPr>
      </w:pPr>
    </w:p>
    <w:tbl>
      <w:tblPr>
        <w:tblW w:w="5505" w:type="pct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1443"/>
        <w:gridCol w:w="6799"/>
      </w:tblGrid>
      <w:tr w:rsidR="001278C0" w:rsidRPr="003A4EC4" w:rsidTr="001278C0">
        <w:trPr>
          <w:trHeight w:val="567"/>
          <w:tblHeader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/>
                <w:bCs/>
                <w:szCs w:val="21"/>
              </w:rPr>
              <w:t>一级指标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/>
                <w:bCs/>
                <w:szCs w:val="21"/>
              </w:rPr>
              <w:t>二级指标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/>
                <w:bCs/>
                <w:szCs w:val="21"/>
              </w:rPr>
              <w:t>指标内涵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一、课程团队</w:t>
            </w:r>
          </w:p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20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主讲教师（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课程负责人和主讲教师具有丰富的教学经验和较高学术造诣，执教能力强，教学效果好；主持（参与）校级以上教育研究或教学改革项目、校企合作或相关专业技术服务项目，且成效明显。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widowControl/>
              <w:jc w:val="lef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团队结构（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课程团队结构合理，人员稳定；专任教师中“双师”素质教师和企业兼职教师比例符合课程性质和教学实施的要求；行业企业人员有效参与课程建设，并承担一定比例的课程教学任务，特别是主要的实践教学任务。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二、课程定位</w:t>
            </w:r>
          </w:p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3A4EC4">
              <w:rPr>
                <w:rFonts w:ascii="仿宋_GB2312" w:eastAsia="仿宋_GB2312" w:hAnsi="仿宋" w:hint="eastAsia"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szCs w:val="21"/>
              </w:rPr>
              <w:t>1</w:t>
            </w:r>
            <w:r w:rsidRPr="003A4EC4">
              <w:rPr>
                <w:rFonts w:ascii="仿宋_GB2312" w:eastAsia="仿宋_GB2312" w:hAnsi="仿宋" w:hint="eastAsia"/>
                <w:szCs w:val="21"/>
              </w:rPr>
              <w:t>建设理念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教学理念先进，能够充分体现职业教育特色，以科学的职业教育课程理论指导课程开发工作。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widowControl/>
              <w:jc w:val="lef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3A4EC4">
              <w:rPr>
                <w:rFonts w:ascii="仿宋_GB2312" w:eastAsia="仿宋_GB2312" w:hAnsi="仿宋" w:hint="eastAsia"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3A4EC4">
              <w:rPr>
                <w:rFonts w:ascii="仿宋_GB2312" w:eastAsia="仿宋_GB2312" w:hAnsi="仿宋" w:hint="eastAsia"/>
                <w:szCs w:val="21"/>
              </w:rPr>
              <w:t>课程设计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符合专业人才培养目标和专业相关技术领域职业岗位（群）的任职要求，与前、后续课程衔接得当；专业课程与行业企业合作设计、开发，充分体现开放性、实践性、职业性，行业企业对课程建设的参与度高，贡献度大。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三、教学内容</w:t>
            </w:r>
          </w:p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20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3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内容选取与组织</w:t>
            </w:r>
          </w:p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课程内容遵循学生认知特点和职业能力培养的基本规律，具有科学性、系统性、先进性、适应性和针对性等特征；专业课程内容与职业标准对接，与国际通用职业资格证书对接；专业课程以真实工作任务及其工作过程为依据整合、序化教学内容。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widowControl/>
              <w:jc w:val="left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szCs w:val="21"/>
              </w:rPr>
              <w:t>3</w:t>
            </w:r>
            <w:r w:rsidRPr="003A4EC4">
              <w:rPr>
                <w:rFonts w:ascii="仿宋_GB2312" w:eastAsia="仿宋_GB2312" w:hAnsi="仿宋" w:hint="eastAsia"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szCs w:val="21"/>
              </w:rPr>
              <w:t>2</w:t>
            </w:r>
            <w:r w:rsidRPr="003A4EC4">
              <w:rPr>
                <w:rFonts w:ascii="仿宋_GB2312" w:eastAsia="仿宋_GB2312" w:hAnsi="仿宋" w:hint="eastAsia"/>
                <w:szCs w:val="21"/>
              </w:rPr>
              <w:t>教材建设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教材先进、适用，与行业企业合作编写工学结合特色教材；课件、案例、习题、实训实习项目、学习指南等教学相关资料齐全。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四、教学实施</w:t>
            </w:r>
          </w:p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20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教学设计（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 xml:space="preserve">教学过程优化，专业课程教学过程与生产过程对接；重视培养学生的实践能力和创新能力；以能力考核为核心，采用多样化考核评价方式。 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4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教学方法与手段</w:t>
            </w:r>
          </w:p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灵活运用多种教学方法，有效采取工学交替、任务驱动、项目导向、理实一体化等行动导向的教学模式，能够调动学生学习积极性，促进学生学习能力发展；协调传统教学手段和现代教育技术的应用，将在线课程与课堂教学有机结合。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五、教学条件</w:t>
            </w:r>
          </w:p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color w:val="C00000"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20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实践教学条件（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校内实验、实训教学条件完善，校外实践基地稳定，能够满足课程教学需要。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widowControl/>
              <w:jc w:val="left"/>
              <w:rPr>
                <w:rFonts w:ascii="仿宋_GB2312" w:eastAsia="仿宋_GB2312" w:hAnsi="仿宋" w:hint="eastAsia"/>
                <w:color w:val="C00000"/>
                <w:szCs w:val="21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在线教学条件（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建有网络教学平台，能够支撑网络课程的正常运行，有效支持共享；课程数字化教学资源库系统、全面、丰富、合理，适合在线学习和混合式教学；课程视频制作精良，符合省高等学校在线开放课程建设技术规范，能够作为资源共享课或在线开放课程在全市范围内共享。</w:t>
            </w:r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六、教学效果</w:t>
            </w:r>
          </w:p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10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7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1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教学效果（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各项教学活动完整有效，学生自主式、协作式学习效果良好，在线学习响应度高，成绩良好；课程对应或相关的职业资格证书、专业技能水平证书获取率高，相应技能竞赛获奖率高。</w:t>
            </w:r>
            <w:bookmarkStart w:id="0" w:name="_GoBack"/>
            <w:bookmarkEnd w:id="0"/>
          </w:p>
        </w:tc>
      </w:tr>
      <w:tr w:rsidR="001278C0" w:rsidRPr="003A4EC4" w:rsidTr="001278C0">
        <w:trPr>
          <w:trHeight w:val="567"/>
          <w:jc w:val="center"/>
        </w:trPr>
        <w:tc>
          <w:tcPr>
            <w:tcW w:w="608" w:type="pct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76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C0" w:rsidRPr="003A4EC4" w:rsidRDefault="001278C0" w:rsidP="0079217B">
            <w:pPr>
              <w:spacing w:line="300" w:lineRule="exact"/>
              <w:jc w:val="center"/>
              <w:rPr>
                <w:rFonts w:ascii="仿宋_GB2312" w:eastAsia="仿宋_GB2312" w:hAnsi="仿宋" w:hint="eastAsia"/>
                <w:bCs/>
                <w:szCs w:val="21"/>
              </w:rPr>
            </w:pP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6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.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2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教学评价（</w:t>
            </w:r>
            <w:r w:rsidRPr="00462DB8">
              <w:rPr>
                <w:rFonts w:ascii="Times New Roman" w:eastAsia="仿宋_GB2312" w:hAnsi="Times New Roman" w:hint="eastAsia"/>
                <w:bCs/>
                <w:szCs w:val="21"/>
              </w:rPr>
              <w:t>5</w:t>
            </w: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>分）</w:t>
            </w:r>
          </w:p>
        </w:tc>
        <w:tc>
          <w:tcPr>
            <w:tcW w:w="3623" w:type="pct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1278C0" w:rsidRPr="003A4EC4" w:rsidRDefault="001278C0" w:rsidP="0079217B">
            <w:pPr>
              <w:rPr>
                <w:rFonts w:ascii="仿宋_GB2312" w:eastAsia="仿宋_GB2312" w:hAnsi="仿宋" w:hint="eastAsia"/>
                <w:bCs/>
                <w:szCs w:val="21"/>
              </w:rPr>
            </w:pPr>
            <w:r w:rsidRPr="003A4EC4">
              <w:rPr>
                <w:rFonts w:ascii="仿宋_GB2312" w:eastAsia="仿宋_GB2312" w:hAnsi="仿宋" w:hint="eastAsia"/>
                <w:bCs/>
                <w:szCs w:val="21"/>
              </w:rPr>
              <w:t xml:space="preserve">学生、同行专家、校内督导和行业企业专家评价结果优良。 </w:t>
            </w:r>
          </w:p>
        </w:tc>
      </w:tr>
    </w:tbl>
    <w:p w:rsidR="005A308F" w:rsidRDefault="005A308F"/>
    <w:sectPr w:rsidR="005A308F" w:rsidSect="005A3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78C0"/>
    <w:rsid w:val="001278C0"/>
    <w:rsid w:val="003727EA"/>
    <w:rsid w:val="005A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C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2020-06-28T07:41:00Z</dcterms:created>
  <dcterms:modified xsi:type="dcterms:W3CDTF">2020-06-28T07:43:00Z</dcterms:modified>
</cp:coreProperties>
</file>